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1354. “情绪价值恋爱，i人约会”——情绪价值（恋爱关系）需求研究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研究对象：重视情绪价值（被理解/回应）的恋爱青年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核心问题/变量：情绪价值需求（回应度/仪式感）、恋爱AA制、i人在恋爱中的角色、失恋情绪消费（疗愈）、关系满意度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H1：情绪价值需求（回应度/仪式感）、恋爱AA制显著影响关系满意度（待验证）；H2：不同人群（年龄/收入/城市等级）在上述关系中存在调节作用（待验证）。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🔶青年婚恋观调查（共青团、媒体须下载核验）；🔶情感消费报告（行业报告须下载核验）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恋爱青年问卷+心理咨询师访谈；获奖黑名单核对：近三年无情绪价值恋爱获奖题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🔶青年婚恋观调查（共青团、媒体须下载核验）；🔶情感消费报告（行业报告须下载核验）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