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1355. “离婚冷静期，冷静之后呢”——离婚冷静期制度（实施）公众认知研究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研究对象：经历/关注离婚冷静期（30天）的当事人与公众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核心问题/变量：离婚冷静期认知（冲动离婚/家暴豁免）、冷静期后选择（和好/离婚）、情绪调解服务、诉讼离婚路径、公众评价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离婚冷静期认知（冲动离婚/家暴豁免）、冷静期后选择（和好/离婚）（公众评价）之间存在可检验的关系，且受群体差异（年龄/收入/地区/身份）调节（待验证）；H2：离婚冷静期认知（冲动离婚/家暴豁免）、冷静期后选择（和好/离婚）是影响公众评价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🔶民法典离婚冷静期条款（全国人大）；🔶离婚登记数据（民政部须下载核验）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婚登处问卷+婚姻家庭调解员访谈；获奖黑名单核对：近三年无离婚冷静期获奖题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🔶民法典离婚冷静期条款（全国人大）；🔶离婚登记数据（民政部须下载核验）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