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1356. “晚婚不婚潮，单身经济2.0”——晚婚不婚（单身人口）生活方式消费研究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研究对象：选择晚婚/不婚的单身青年（30+）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核心问题/变量：晚婚不婚原因（经济/观念）、单身生活方式（独居消费）、不婚压力（催婚）、单身养老规划、社交状态（单身圈层）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晚婚不婚原因（经济/观念）、单身生活方式（独居消费）（社交状态（单身圈层））之间存在可检验的关系，且受群体差异（年龄/收入/地区/身份）调节（待验证）；H2：晚婚不婚原因（经济/观念）、单身生活方式（独居消费）是影响社交状态（单身圈层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🔶人口与婚育观调查（统计局、民政部须下载核验）；🔶单身经济报告（行业报告须下载核验）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单身青年问卷+社会学者访谈；获奖黑名单核对：近三年无晚婚不婚获奖题（区别于137不婚族泛题、563单身经济，聚焦30+单身生活）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🔶人口与婚育观调查（统计局、民政部须下载核验）；🔶单身经济报告（行业报告须下载核验）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