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1357. “婚介平台暴雷，相亲防坑指南”——婚介平台（收费、暴雷）消费者权益研究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研究对象：使用婚介平台（付费会员）及遭遇纠纷的用户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核心问题/变量：婚介高收费（万元会员）、虚假资料（托儿）、婚介暴雷（卷款跑路）、服务合同纠纷、平台审核责任、维权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H1：婚介高收费（万元会员）、虚假资料（托儿）显著影响维权（待验证）；H2：不同人群（年龄/收入/城市等级）在上述关系中存在调节作用（待验证）。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🔶婚介服务监管规范（市场监管总局、民政部）；🔶婚介纠纷数据（消协须下载核验）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婚介用户问卷+消协访谈；获奖黑名单核对：近三年无婚介暴雷获奖题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🔶婚介服务监管规范（市场监管总局、民政部）；🔶婚介纠纷数据（消协须下载核验）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