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1359. “老年人婚恋，夕阳红相亲”——老年人婚恋（黄昏恋）社交研究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topic-selection 规范版（呆塔大师兄（微信：a237658765））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研究阶段：early（早期：需求调查与市场机会挖掘）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确定行业：19_婚恋与社交（选择理由：贴合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研究对象：参与老年人婚恋（黄昏恋/再婚）的老年人及其子女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核心问题/变量：黄昏恋需求（陪伴/照顾）、子女态度（财产顾虑）、老年婚恋平台（相亲群）、再婚财产约定、同居不领证、孤独缓解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黄昏恋需求（陪伴/照顾）、子女态度（财产顾虑）（孤独缓解）之间存在可检验的关系，且受群体差异（年龄/收入/地区/身份）调节（待验证）；H2：黄昏恋需求（陪伴/照顾）、子女态度（财产顾虑）是影响孤独缓解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🔶老年人权益与婚恋服务政策（民政部、老龄办）；🔶老年婚恋报道（须下载核验）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老年社群问卷+婚恋服务机构访谈；获奖黑名单核对：近三年无老年人婚恋获奖题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🔶老年人权益与婚恋服务政策（民政部、老龄办）；🔶老年婚恋报道（须下载核验）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