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1360. “国风婚礼，凤冠霞帔新中式”——国风、新中式婚礼（仪式复兴）消费研究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研究对象：举办国风/新中式婚礼（汉婚/凤冠霞帔）的新人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核心问题/变量：国风婚礼形式（汉服仪式/新中式布置）、婚服租赁与定制、仪式全流程（却扇/合卺礼）、婚庆价格（高于西式）、传统文化认同、出圈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国风婚礼形式（汉服仪式/新中式布置）、婚服租赁与定制（出圈）之间存在可检验的关系，且受群体差异（年龄/收入/地区/身份）调节（待验证）；H2：国风婚礼形式（汉服仪式/新中式布置）、婚服租赁与定制是影响出圈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🔶婚庆服务规范与新中式消费政策（商务部）；🔶国风婚礼案例数据（须下载核验）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婚庆公司渠道+新人问卷；获奖黑名单核对：近三年无国风婚礼获奖题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🔶婚庆服务规范与新中式消费政策（商务部）；🔶国风婚礼案例数据（须下载核验）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