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277. “Z世代婚礼，简约不简单”——Z世代婚礼消费观与简约婚礼趋势研究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建议地区：长沙（可按省/市细化抽样框）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确定行业：19_婚恋与社交（选择理由：贴合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研究对象：25—35岁已婚/筹备婚礼的新人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核心问题/变量：婚礼预算分配、仪式偏好（传统vs简约vs旅行）、情感化定制需求、AI元素接受、消费观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H1：婚礼预算分配、仪式偏好（传统vs简约vs旅行）显著影响消费观（待验证）；H2：不同人群（年龄/收入/城市等级）在上述关系中存在调节作用（待验证）。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✅超七成新人要求婚礼融入个人故事线（AI恋爱时间轴/定制主题曲/回忆互动墙）（行业🔶）；✅长沙简约婚礼占比68%、仅小型答谢宴占23%；✅婚礼从"套模板堆物料"转向"情感内核+专属创意"（中研普华）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婚庆公司/婚礼社群渠道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✅超七成新人要求婚礼融入个人故事线（AI恋爱时间轴/定制主题曲/回忆互动墙）（行业🔶）；✅长沙简约婚礼占比68%、仅小型答谢宴占23%；✅婚礼从"套模板堆物料"转向"情感内核+专属创意"（中研普华）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