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368. “彩礼，结婚之门的坎”——彩礼负担认知与婚俗改革支持度研究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研究对象：适婚青年及家长（农村/城市）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核心问题/变量：彩礼金额与负担感知、地区差异、高价彩礼成因、婚俗改革知晓（民政部婚俗改革实验区）、态度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H1：彩礼金额与负担感知、地区差异（态度）之间存在可检验的关系，且受群体差异（年龄/收入/地区/身份）调节（待验证）；H2：彩礼金额与负担感知、地区差异是影响态度的关键因素（待验证）。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✅北师大与小红书《网络社会与青年婚恋观调查报告（2026）》：彩礼/嫁妆为青年感知第三大经济压力（53.4%）；✅62.1%受访者自认经济"完全没有准备"或"准备不足"；✅民政部婚俗改革实验区（背景）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社区/村镇渠道+线上问卷（匿名）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✅北师大与小红书《网络社会与青年婚恋观调查报告（2026）》：彩礼/嫁妆为青年感知第三大经济压力（53.4%）；✅62.1%受访者自认经济"完全没有准备"或"准备不足"；✅民政部婚俗改革实验区（背景）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