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370. “婚礼预算，钱花哪了”——青年结婚成本结构与婚礼消费偏好研究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建议地区：长沙（可按省/市细化抽样框）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确定行业：19_婚恋与社交（选择理由：贴合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研究对象：近两年举办婚礼的新人家庭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核心问题/变量：婚礼总花费、项目占比（宴席/婚庆/婚纱/珠宝/旅游）、预算控制、简约婚礼接受、家庭支持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婚礼总花费、项目占比（宴席/婚庆/婚纱/珠宝/旅游）（家庭支持）之间存在可检验的关系，且受群体差异（年龄/收入/地区/身份）调节（待验证）；H2：婚礼总花费、项目占比（宴席/婚庆/婚纱/珠宝/旅游）是影响家庭支持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✅长沙简约婚礼占比68%（第十批证据）；✅超七成新人要求婚礼融入个人故事线（第十批证据）；🔶结婚平均花费（婚礼纪/婚博会数据需核验）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婚庆公司/婚礼社群渠道；与277题（Z世代简约婚礼）区分：聚焦成本结构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✅长沙简约婚礼占比68%（第十批证据）；✅超七成新人要求婚礼融入个人故事线（第十批证据）；🔶结婚平均花费（婚礼纪/婚博会数据需核验）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