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493. “黄昏恋，夕阳下的陪伴”——老年人相亲、黄昏恋婚恋消费与态度研究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建议地区：北京（可按省/市细化抽样框）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确定行业：19_婚恋与社交（选择理由：贴合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研究对象：参与老年相亲活动/有再婚考虑的 60+ 人群及其子女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核心问题/变量：黄昏恋态度、相亲渠道（公园相亲会/婚介/线上）、子女态度、财产顾虑、再婚意愿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黄昏恋态度、相亲渠道（公园相亲会/婚介/线上）（再婚意愿）之间存在可检验的关系，且受群体差异（年龄/收入/地区/身份）调节（待验证）；H2：黄昏恋态度、相亲渠道（公园相亲会/婚介/线上）是影响再婚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🔶"老年相亲角"（北京/上海公园相亲角媒体）；✅老龄化3.2亿（已核验）；✅银发婚恋平台（"遇兔""芳华"等媒体🔶）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老年活动中心/公园相亲角渠道；与277-280婚庆区分：聚焦老年群体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🔶"老年相亲角"（北京/上海公园相亲角媒体）；✅老龄化3.2亿（已核验）；✅银发婚恋平台（"遇兔""芳华"等媒体🔶）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