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643. “婚礼堂一站式，省心婚礼”——一站式婚礼堂消费研究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确定行业：19_婚恋与社交（选择理由：贴合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研究对象：选择婚礼堂/一站式婚礼服务的新人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核心问题/变量：婚礼堂选择动机（省心/性价比）、套餐内容与隐形消费、场景布置满意度、与传统婚庆对比、服务投诉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H1：婚礼堂选择动机（省心/性价比）、套餐内容与隐形消费显著影响服务投诉（待验证）；H2：不同人群（年龄/收入/城市等级）在上述关系中存在调节作用（待验证）。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🔶婚礼堂业态报道（婚庆媒体须下载核验）；✅婚庆服务规范（商务部）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婚礼堂渠道问卷+经营者访谈；获奖黑名单核对：近三年无婚礼堂获奖题（区别于643旧版编号冲突已调整）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🔶婚礼堂业态报道（婚庆媒体须下载核验）；✅婚庆服务规范（商务部）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