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767. “彩礼新规落地，天价彩礼降温”——彩礼纠纷新规下婚嫁消费与观念研究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研究对象：近年结婚/订婚的年轻人及其家庭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核心问题/变量：彩礼金额与区域差异、新规（返还规则）知晓、婚嫁消费结构（彩礼/房车/婚礼）、观念转变、家庭协商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H1：彩礼金额与区域差异、新规（返还规则）知晓显著影响家庭协商（待验证）；H2：不同人群（年龄/收入/城市等级）在上述关系中存在调节作用（待验证）。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✅彩礼纠纷司法解释（最高法）；🔶彩礼新规案例报道（须下载核验）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新婚人群问卷+婚庆/律师访谈；获奖黑名单核对：近三年无彩礼新规获奖题（区别于368彩礼负担）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✅彩礼纠纷司法解释（最高法）；🔶彩礼新规案例报道（须下载核验）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