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897. “父辈催婚压力，青年现状”——催婚文化下青年婚恋压力与应对研究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确定行业：19_婚恋与社交（选择理由：贴合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研究对象：被父母催婚的25-35岁单身青年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核心问题/变量：催婚频次与方式（饭桌/相亲安排）、婚恋压力（焦虑/回避）、代际观念冲突、应对策略（敷衍/沟通）、自我婚恋节奏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催婚频次与方式（饭桌/相亲安排）、婚恋压力（焦虑/回避）（自我婚恋节奏）之间存在可检验的关系，且受群体差异（年龄/收入/地区/身份）调节（待验证）；H2：催婚频次与方式（饭桌/相亲安排）、婚恋压力（焦虑/回避）是影响自我婚恋节奏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🔶青年婚恋观念调查（共青团、媒体须下载核验）；✅婚育友好社会政策（卫健委）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青年社群问卷；获奖黑名单核对：近三年无催婚获奖题（区别于36/367搭子相亲类）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🔶青年婚恋观念调查（共青团、媒体须下载核验）；✅婚育友好社会政策（卫健委）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