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1015. “华流出海，长剧出海新篇”——国产长剧、综艺出海（海外平台）接受度研究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确定行业：20_传媒娱乐与数字内容（选择理由：贴合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研究对象：观看中国长剧/综艺（海外播出）的海外观众与出海从业者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核心问题/变量：出海内容类型（古装/都市）、海外平台（Netflix/Disney+）排播、文化接受度（字幕/本土化）、出海收益模式、华流IP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出海内容类型（古装/都市）、海外平台（Netflix/Disney+）排播（华流IP）之间存在可检验的关系，且受群体差异（年龄/收入/地区/身份）调节（待验证）；H2：出海内容类型（古装/都市）、海外平台（Netflix/Disney+）排播是影响华流IP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🔶视听内容出海政策（广电总局）；🔶中国剧集出海数据（行业报告须下载核验）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海外观众问卷+出海发行公司访谈；获奖黑名单核对：近三年无长剧出海获奖题（区别于184短剧出海）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🔶视听内容出海政策（广电总局）；🔶中国剧集出海数据（行业报告须下载核验）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