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1031. “高铁静音车厢，一路安静”——高铁静音车厢使用与规则遵守研究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确定行业：20_传媒娱乐与数字内容（选择理由：贴合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研究对象：乘坐过/选择高铁静音车厢的旅客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核心问题/变量：静音车厢选择动机（办公/休息）、票价相同下的选择、噪音治理效果（广播/外放）、规则执行（乘务提醒）、满意度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静音车厢选择动机（办公/休息）、票价相同下的选择（满意度）之间存在可检验的关系，且受群体差异（年龄/收入/地区/身份）调节（待验证）；H2：静音车厢选择动机（办公/休息）、票价相同下的选择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🔶铁路运输服务规范（国铁集团）；🔶静音车厢扩围报道（须下载核验）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高铁旅客问卷+铁路部门访谈；获奖黑名单核对：近三年无静音车厢获奖题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🔶铁路运输服务规范（国铁集团）；🔶静音车厢扩围报道（须下载核验）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