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1261. “有声剧2.0，广播剧影视化”——有声剧（影视化升级）付费消费研究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研究对象：付费收听有声剧（影视化/全明星制作）的用户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核心问题/变量：有声剧升级（广播剧→有声剧影视化）、制作成本（全明星配音）、付费模式（单季/会员）、沉浸体验、复购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H1：有声剧升级（广播剧→有声剧影视化）、制作成本（全明星配音）显著影响复购（待验证）；H2：不同人群（年龄/收入/城市等级）在上述关系中存在调节作用（待验证）。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🔶网络音频内容规范（广电总局）；🔶有声剧市场数据（须下载核验）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音频平台用户问卷+制作公司访谈；获奖黑名单核对：近三年无有声剧影视化获奖题（区别于262播客有声书泛题、639广播剧，聚焦影视化升级）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🔶网络音频内容规范（广电总局）；🔶有声剧市场数据（须下载核验）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