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1262. “微短剧春节档，三分钟看大戏”——微短剧春节档、档期化（排播）消费研究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确定行业：20_传媒娱乐与数字内容（选择理由：贴合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研究对象：在春节/节假日档期追微短剧的用户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核心问题/变量：微短剧档期化（春节档爆款）、节日追剧时段、付费（解锁/会员）、短剧营销（平台造节）、节后热度回落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H1：微短剧档期化（春节档爆款）、节日追剧时段显著影响节后热度回落（待验证）；H2：不同人群（年龄/收入/城市等级）在上述关系中存在调节作用（待验证）。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🔶微短剧内容审核与备案规范（广电总局）；🔶短剧档期数据（平台须下载核验）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短剧平台用户问卷+制作方访谈；获奖黑名单核对：近三年无微短剧档期化获奖题（区别于181-185短剧消费，聚焦档期排播）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🔶微短剧内容审核与备案规范（广电总局）；🔶短剧档期数据（平台须下载核验）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