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1264. “视频平台短剧，长短视频之战”——长视频平台短剧（长短融合）消费研究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确定行业：20_传媒娱乐与数字内容（选择理由：贴合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研究对象：在长视频平台（优酷/腾讯/爱奇艺）观看短剧的用户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核心问题/变量：长视频平台加码短剧（竖屏专区）、长短视频竞争（免费vs付费）、会员权益变化、观看时长迁移、平台留存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H1：长视频平台加码短剧（竖屏专区）、长短视频竞争（免费vs付费）显著影响平台留存（待验证）；H2：不同人群（年龄/收入/城市等级）在上述关系中存在调节作用（待验证）。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🔶长视频与微短剧发展政策（广电总局）；🔶长短视频数据（行业报告须下载核验）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长视频用户问卷+平台访谈；获奖黑名单核对：近三年无长视频短剧获奖题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🔶长视频与微短剧发展政策（广电总局）；🔶长短视频数据（行业报告须下载核验）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