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1267. “短视频知识付费，3分钟学个新技能”——短视频知识付费（碎片学习）消费研究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研究对象：为短视频知识内容（技能/科普）付费的用户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核心问题/变量：短视频知识付费（3分钟课堂）、单价与专栏、碎片学习效果、与系统课程对比、冲动消费、完课率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H1：短视频知识付费（3分钟课堂）、单价与专栏显著影响完课率（待验证）；H2：不同人群（年龄/收入/城市等级）在上述关系中存在调节作用（待验证）。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🔶知识付费与内容电商规范（市场监管总局）；🔶短视频知识付费数据（须下载核验）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知识博主粉丝问卷+平台访谈；获奖黑名单核对：近三年无短视频知识付费获奖题（区别于178知识付费泛题，聚焦短视频形态）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🔶知识付费与内容电商规范（市场监管总局）；🔶短视频知识付费数据（须下载核验）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