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1269. “素人综艺，普通人上电视”——素人参与综艺（普通人出镜）研究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确定行业：20_传媒娱乐与数字内容（选择理由：贴合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研究对象：参加素人综艺/真人秀（观察类）的参与者与观众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核心问题/变量：素人综艺形式（恋爱/职场/生活）、报名参与动机、出镜体验与网暴风险、观众真实感、素人后续发展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素人综艺形式（恋爱/职场/生活）、报名参与动机（素人后续发展）之间存在可检验的关系，且受群体差异（年龄/收入/地区/身份）调节（待验证）；H2：素人综艺形式（恋爱/职场/生活）、报名参与动机是影响素人后续发展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🔶综艺节目内容规范（广电总局）；🔶素人综艺数据（须下载核验）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参与者问卷+综艺制作方访谈；获奖黑名单核对：近三年无素人综艺获奖题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🔶综艺节目内容规范（广电总局）；🔶素人综艺数据（须下载核验）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