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181. “免费短剧，刷不停”——免费微短剧（红果模式）用户消费行为与时间占用研究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研究对象：使用免费微短剧App（红果/河马剧场等）的 18—60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核心问题/变量：使用时长（日均）、上瘾感知、广告容忍度、付费转化、内容偏好、"杀时间"vs"杀精力"评价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H1：使用时长（日均）、上瘾感知显著影响"杀时间"vs"杀精力"评价（待验证）；H2：不同人群（年龄/收入/城市等级）在上述关系中存在调节作用（待验证）。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红果短剧日活1.68亿、超腾讯视频/爱奇艺/优酷/芒果TV四家之和、月人均单日使用125分钟、广告填充率超90%（新浪财经/澎湃）；✅2026中国微短剧市场预计破1210亿元（《中国微短剧发展报告2026》）；✅微短剧用户8.51亿（占网民66.7%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短剧用户社群+线上问卷；现象前沿（红果超爱优腾芒之和）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红果短剧日活1.68亿、超腾讯视频/爱奇艺/优酷/芒果TV四家之和、月人均单日使用125分钟、广告填充率超90%（新浪财经/澎湃）；✅2026中国微短剧市场预计破1210亿元（《中国微短剧发展报告2026》）；✅微短剧用户8.51亿（占网民66.7%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