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182. “短剧越刷越'降智'？”——微短剧内容质量感知与“降智”争议研究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研究对象：刷过微短剧且关注内容质量的观众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核心问题/变量：内容质量评价（剧情/演技/价值观）、"降智"争议认同、监管期待、弃剧行为、付费意愿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H1：内容质量评价（剧情/演技/价值观）、"降智"争议认同显著影响付费意愿（待验证）；H2：不同人群（年龄/收入/城市等级）在上述关系中存在调节作用（待验证）。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✅"红果短剧 降智"登上百度热搜（2026-10）；✅行业爆款率仅0.16%、仅2%参与者盈利（《中国微短剧发展报告2026》）；✅2026年7月《微短剧发展管理办法》发布、微短剧进入法治化监管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线上问卷+"红果短剧 降智"热搜话题内容分析；话题自带流量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✅"红果短剧 降智"登上百度热搜（2026-10）；✅行业爆款率仅0.16%、仅2%参与者盈利（《中国微短剧发展报告2026》）；✅2026年7月《微短剧发展管理办法》发布、微短剧进入法治化监管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