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183. “为短剧买单，值不值”——微短剧付费、广告变现模式消费者接受度研究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研究对象：为微短剧付过费（单集/会员）或常看广告模式的用户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核心问题/变量：付费场景、金额接受、免费+广告vs付费模式偏好、冲动付费后悔、复购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H1：付费场景、金额接受显著影响复购（待验证）；H2：不同人群（年龄/收入/城市等级）在上述关系中存在调节作用（待验证）。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✅免费微短剧2026年约573亿元（+8%）、广告变现取代单一付费模式（《中国微短剧发展报告2026》/财联社）；✅红果广告填充率超90%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短剧平台用户渠道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✅免费微短剧2026年约573亿元（+8%）、广告变现取代单一付费模式（《中国微短剧发展报告2026》/财联社）；✅红果广告填充率超90%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