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184. “短剧出海，文化出海”——中国微短剧出海本地化策略与海外观众接受度研究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确定行业：20_传媒娱乐与数字内容（选择理由：贴合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研究对象：关注或参与短剧出海（翻译/本土制作/海外平台）的从业者与研究者、海外华人观众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核心问题/变量：译制vs原生剧认知、题材偏好、本土化要素（演员/价值观）、出海竞争力评价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译制vs原生剧认知、题材偏好（出海竞争力评价）之间存在可检验的关系，且受群体差异（年龄/收入/地区/身份）调节（待验证）；H2：译制vs原生剧认知、题材偏好是影响出海竞争力评价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海外微短剧市场预计超60亿美元、中国出海短剧占八成以上；✅2026上半年中国出海短剧APP内购收入11.82亿美元、占市场约93%；✅原生剧占出海份额从27%升至46%、2026为"AI短剧出海元年"（海外AI短剧6.5亿美元、+550%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短剧出海公司访谈+海外华人社群问卷；议题新颖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海外微短剧市场预计超60亿美元、中国出海短剧占八成以上；✅2026上半年中国出海短剧APP内购收入11.82亿美元、占市场约93%；✅原生剧占出海份额从27%升至46%、2026为"AI短剧出海元年"（海外AI短剧6.5亿美元、+550%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