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185. “AI 短剧，一键生成”——AI生成短剧（AI剧、漫剧）消费者接受度研究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研究对象：看过AI短剧/AI漫剧的观众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核心问题/变量：观看动机、画质与剧情评价、AI感接受度、与传统短剧对比、付费意愿、监管认知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H1：观看动机、画质与剧情评价显著影响监管认知（待验证）；H2：不同人群（年龄/收入/城市等级）在上述关系中存在调节作用（待验证）。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✅AI短剧市场2026年预计超400亿元（+138%）；✅2026年4月起AI短剧"持证上岗"全面落地；✅红果免费漫剧月活3914万、腾讯火龙漫剧1078万（澎湃）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AI短剧平台（红果漫剧/腾讯火龙）用户渠道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✅AI短剧市场2026年预计超400亿元（+138%）；✅2026年4月起AI短剧"持证上岗"全面落地；✅红果免费漫剧月活3914万、腾讯火龙漫剧1078万（澎湃）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