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186. “虚拟偶像，次元破壁”——VTuber、虚拟偶像粉丝消费行为研究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研究对象：关注虚拟主播/VTuber（A-SOUL、VR圈等）或购买其衍生品的粉丝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核心问题/变量：入坑动机（人设/陪伴/直播）、打赏与会员消费、衍生品支出、与真人偶像对比、情感连接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H1：入坑动机（人设/陪伴/直播）、打赏与会员消费显著影响情感连接（待验证）；H2：不同人群（年龄/收入/城市等级）在上述关系中存在调节作用（待验证）。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✅中国大陆虚拟主播IP衍生品市场2025年约78.5亿元、2026年预计104.3亿元；✅AI虚拟主播行业2026年突破千亿元级（行业测算🔶）；🔶全球虚拟网红市场2025年5.49亿美元（CAGR 11.2%）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B站VTuber粉丝群/虚拟偶像超话渠道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✅中国大陆虚拟主播IP衍生品市场2025年约78.5亿元、2026年预计104.3亿元；✅AI虚拟主播行业2026年突破千亿元级（行业测算🔶）；🔶全球虚拟网红市场2025年5.49亿美元（CAGR 11.2%）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