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261. “实体书店，逆势回归”——实体书店、主题书店消费与城市阅读空间研究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研究对象：常去实体书店/城市书房购书或自习的读者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核心问题/变量：书店消费（购书/文创/咖啡）、选择因素（颜值/活动/选品）、与网购对比、停留时长、复访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书店消费（购书/文创/咖啡）、选择因素（颜值/活动/选品）（复访）之间存在可检验的关系，且受群体差异（年龄/收入/地区/身份）调节（待验证）；H2：书店消费（购书/文创/咖啡）、选择因素（颜值/活动/选品）是影响复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🔶实体书店回暖（开卷数据需下载核对）；✅公共文化服务政策背景；✅"书店+咖啡+活动"复合经营模式（媒体）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书店/书房现场问卷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🔶实体书店回暖（开卷数据需下载核对）；✅公共文化服务政策背景；✅"书店+咖啡+活动"复合经营模式（媒体）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