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262. “有声书、播客，耳朵经济”——有声书、播客、音频知识消费行为研究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确定行业：20_传媒娱乐与数字内容（选择理由：贴合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研究对象：听有声书/播客的 18—45 岁用户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核心问题/变量：收听场景（通勤/睡前/家务）、内容偏好（知识/娱乐/疗愈）、会员付费、时长、满意度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H1：收听场景（通勤/睡前/家务）、内容偏好（知识/娱乐/疗愈）显著影响满意度（待验证）；H2：不同人群（年龄/收入/城市等级）在上述关系中存在调节作用（待验证）。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✅中国音乐、广播及播客总收入2025—2030年CAGR 6.2%、2030年达87亿美元；✅消费动机转向兴趣疗愈与情感共鸣（行业🔶）；🔶有声书市场规模（行业报告需核验）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喜马拉雅/小宇宙等音频平台用户渠道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✅中国音乐、广播及播客总收入2025—2030年CAGR 6.2%、2030年达87亿美元；✅消费动机转向兴趣疗愈与情感共鸣（行业🔶）；🔶有声书市场规模（行业报告需核验）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