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346. “周末看电影，还是一种仪式吗”——电影消费行为与观影习惯研究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研究对象：有影院观影习惯的 18—45 岁观众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核心问题/变量：观影频次、购票渠道（平台/会员）、消费决策（口碑/演员/档期）、单片支出、家庭观影需求、满意度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H1：观影频次、购票渠道（平台/会员）显著影响满意度（待验证）；H2：不同人群（年龄/收入/城市等级）在上述关系中存在调节作用（待验证）。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✅2026暑期档总票房124.98亿元、观影人次3.4亿（+4.45%/+5.86%）、国产片占比超七成、18部破亿；✅国庆档11.65亿元；✅"高口碑难破圈"、档期票冠近五年首次未超30亿（媒体分析🔶）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影院现场+购票平台用户渠道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✅2026暑期档总票房124.98亿元、观影人次3.4亿（+4.45%/+5.86%）、国产片占比超七成、18部破亿；✅国庆档11.65亿元；✅"高口碑难破圈"、档期票冠近五年首次未超30亿（媒体分析🔶）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