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499. “黑胶回潮，复古聆听”——黑胶唱片、复古音乐消费（磁带、CD回潮）研究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研究对象：购买黑胶/磁带/CD/随身听的音乐爱好者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核心问题/变量：收藏动机（音质/仪式感/怀旧）、购买渠道（中古/线上）、播放设备、价格、与流媒体共存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H1：收藏动机（音质/仪式感/怀旧）、购买渠道（中古/线上）显著影响与流媒体共存（待验证）；H2：不同人群（年龄/收入/城市等级）在上述关系中存在调节作用（待验证）。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🔶全球黑胶销量创新高（RIAA数据需核验）；✅中国音乐产业（音集协《中国音乐产业发展报告》🔶需下载）；✅播客/耳机音频消费6.2% CAGR（第九轮证据）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黑胶店/音乐节市集渠道；与411题（怀旧消费）区分：聚焦音乐载体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🔶全球黑胶销量创新高（RIAA数据需核验）；✅中国音乐产业（音集协《中国音乐产业发展报告》🔶需下载）；✅播客/耳机音频消费6.2% CAGR（第九轮证据）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