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519. “手写信，慢社交回潮”——手写书信、慢社交服务的消费研究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确定行业：20_传媒娱乐与数字内容（选择理由：贴合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研究对象：购买手写信代写/书信慢递、参加“陌生人书信”活动的青年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核心问题/变量：参与动机（仪式感/数字倦怠/情感深度）、为手写服务付费意愿、与即时通讯的体验对比、书信社交满意度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H1：参与动机（仪式感/数字倦怠/情感深度）、为手写服务付费意愿显著影响书信社交满意度（待验证）；H2：不同人群（年龄/收入/城市等级）在上述关系中存在调节作用（待验证）。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🔶手写信/书信社交回潮报道（媒体须下载核验）；✅数字幸福与青年文化政策导向（已有线索）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书信活动/文创平台社群问卷；区别于262（有声书）数字内容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🔶手写信/书信社交回潮报道（媒体须下载核验）；✅数字幸福与青年文化政策导向（已有线索）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