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665. “数字藏品退潮，元宇宙冷静”——数字藏品、元宇宙消费降温研究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研究对象：曾购买数字藏品或体验元宇宙产品的用户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核心问题/变量：数字藏品购买动机与亏损经历、平台跑路维权、元宇宙产品（VR/虚拟空间）体验落差、行业退潮认知、二次入场意愿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H1：数字藏品购买动机与亏损经历、平台跑路维权显著影响二次入场意愿（待验证）；H2：不同人群（年龄/收入/城市等级）在上述关系中存在调节作用（待验证）。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🔶数字藏品退潮报道（科技媒体须下载核验）；✅NFT与元宇宙监管文件（金融监管总局等）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数字藏品社群问卷+平台访谈；获奖黑名单核对：近三年无数字藏品获奖题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🔶数字藏品退潮报道（科技媒体须下载核验）；✅NFT与元宇宙监管文件（金融监管总局等）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