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1041. “无障碍网络，云端共融”——信息无障碍网络（网站、App无障碍改造）使用研究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研究对象：使用兼容模式/无障碍功能的视障、老年用户及开发者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核心问题/变量：网站App无障碍功能使用（读屏/大字/语音）、完成事项难度（支付/挂号）、改造需求、企业义务感知、满意度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网站App无障碍功能使用（读屏/大字/语音）、完成事项难度（支付/挂号）（满意度）之间存在可检验的关系，且受群体差异（年龄/收入/地区/身份）调节（待验证）；H2：网站App无障碍功能使用（读屏/大字/语音）、完成事项难度（支付/挂号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✅无障碍环境建设法（全国人大）；🔶App无障碍改造评测数据（须下载核验）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残障组织/社区问卷+互联网企业访谈；获奖黑名单核对：近三年无信息无障碍网络获奖题（区别于373无障阅读，聚焦全场景网络服务）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✅无障碍环境建设法（全国人大）；🔶App无障碍改造评测数据（须下载核验）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