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115. “AI 换脸，防不胜防”——深度伪造（Deepfake）风险认知与公众防护行为研究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确定行业：21_公共治理与社会关怀（选择理由：贴合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研究对象：18—60岁互联网用户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核心问题/变量：AI 换脸/声音克隆认知度、风险感知（诈骗/谣言/侵权）、防护行为（验证/举报/设置）、政策诉求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H1：AI 换脸/声音克隆认知度、风险感知（诈骗/谣言/侵权）（政策诉求）之间存在可检验的关系，且受群体差异（年龄/收入/地区/身份）调节（待验证）；H2：AI 换脸/声音克隆认知度、风险感知（诈骗/谣言/侵权）是影响政策诉求的关键因素（待验证）。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🔶AI 换脸诈骗案件频发（公安部/媒体公开案例，需引原文）；✅《人工智能生成合成内容标识办法》等监管文件（🔶具体文号待核验）；✅第二批20题"AIGC 内容标识认知"可作姊妹篇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线上问卷广撒网；可配合反诈宣传渠道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🔶AI 换脸诈骗案件频发（公安部/媒体公开案例，需引原文）；✅《人工智能生成合成内容标识办法》等监管文件（🔶具体文号待核验）；✅第二批20题"AIGC 内容标识认知"可作姊妹篇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