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1309. “12345热线，一个电话管到底”——12345政务服务热线（接诉即办）体验研究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研究对象：拨打12345热线（反映问题）的市民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核心问题/变量：12345热线知晓与拨打场景（物业/消费/市政）、接听与转办速度（接诉即办）、问题解决率、回访满意度、重复拨打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12345热线知晓与拨打场景（物业/消费/市政）、接听与转办速度（接诉即办）（重复拨打）之间存在可检验的关系，且受群体差异（年龄/收入/地区/身份）调节（待验证）；H2：12345热线知晓与拨打场景（物业/消费/市政）、接听与转办速度（接诉即办）是影响重复拨打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🔶12345热线与接诉即办政策（国务院办公厅、地方条例）；🔶热线数据（政务部门须下载核验）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市民问卷+政务热线部门访谈；获奖黑名单核对：近三年无12345热线获奖题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🔶12345热线与接诉即办政策（国务院办公厅、地方条例）；🔶热线数据（政务部门须下载核验）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