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1313. “15分钟便民生活圈，出门样样有”——一刻钟便民生活圈（居民）体验研究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研究对象：生活在15分钟便民生活圈（商圈建设）的社区居民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核心问题/变量：便民生活圈配置（菜场/医疗/养老/维修）、步行可达性、业态完善度、居民使用率、改造满意度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便民生活圈配置（菜场/医疗/养老/维修）、步行可达性（改造满意度）之间存在可检验的关系，且受群体差异（年龄/收入/地区/身份）调节（待验证）；H2：便民生活圈配置（菜场/医疗/养老/维修）、步行可达性是影响改造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🔶一刻钟便民生活圈建设政策（商务部）；🔶试点城市数据（须下载核验）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试点社区问卷+商务部门访谈；获奖黑名单核对：近三年无15分钟便民生活圈获奖题（区别于969十五分钟生活圈泛题，聚焦步行消费可达）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🔶一刻钟便民生活圈建设政策（商务部）；🔶试点城市数据（须下载核验）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