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1314. “预付卡新规，跑路难了”——预付卡消费（资金存管新规）消费者研究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研究对象：使用预付卡（健身/美容/教培）并关注新规的消费者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核心问题/变量：预付卡跑路经历（商家倒闭）、资金存管新规（银行专户）、单次限额（办卡金额）、消费维权（退费）、办卡信心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预付卡跑路经历（商家倒闭）、资金存管新规（银行专户）（办卡信心）之间存在可检验的关系，且受群体差异（年龄/收入/地区/身份）调节（待验证）；H2：预付卡跑路经历（商家倒闭）、资金存管新规（银行专户）是影响办卡信心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🔶单用途预付卡监管新规（国务院、市场监管总局）；🔶预付卡纠纷数据（消协须下载核验）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消费者问卷+市场监管部门访谈；获奖黑名单核对：近三年无预付卡新规获奖题（区别于476预付卡泛题、322健身房跑路，聚焦新规后）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🔶单用途预付卡监管新规（国务院、市场监管总局）；🔶预付卡纠纷数据（消协须下载核验）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