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1315. “无障碍出租车，轮椅出行”——无障碍出行（无障碍出租车、网约车）研究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研究对象：使用无障碍出行服务（轮椅坡道车/低地板公交）的残障与老人群体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核心问题/变量：无障碍出租车（数量少/预约难）、网约车无障碍（轮椅服务）、公交无障碍（低地板）、打车被拒经历、改进需求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无障碍出租车（数量少/预约难）、网约车无障碍（轮椅服务）（改进需求）之间存在可检验的关系，且受群体差异（年龄/收入/地区/身份）调节（待验证）；H2：无障碍出租车（数量少/预约难）、网约车无障碍（轮椅服务）是影响改进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🔶无障碍环境建设与出行政策（住建部、交通运输部）；🔶无障碍出行数据（须下载核验）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残障组织问卷+交通部门访谈；获奖黑名单核对：近三年无无障碍出行获奖题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🔶无障碍环境建设与出行政策（住建部、交通运输部）；🔶无障碍出行数据（须下载核验）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