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1316. “档案数字化，一网通办好”——数字档案、政务服务一网通办（市民）体验研究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研究对象：使用一网通办/数字档案（跨省通办）办事的市民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核心问题/变量：一网通办事项（户籍/社保/公积金）、跨省通办（异地办理）、材料免提交（电子证照）、办理时长、老年人帮办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一网通办事项（户籍/社保/公积金）、跨省通办（异地办理）（老年人帮办）之间存在可检验的关系，且受群体差异（年龄/收入/地区/身份）调节（待验证）；H2：一网通办事项（户籍/社保/公积金）、跨省通办（异地办理）是影响老年人帮办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🔶数字政府与一网通办政策（国务院）；🔶一网通办数据（政务部门须下载核验）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办事市民问卷+政务服务部门访谈；获奖黑名单核对：近三年无一网通办获奖题（区别于328/397数字政务泛题，聚焦跨省通办体验）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🔶数字政府与一网通办政策（国务院）；🔶一网通办数据（政务部门须下载核验）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