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1317. “社区咖啡角，老年人新社交场”——社区公共空间（咖啡角、活动室）银发使用研究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研究对象：使用社区公共空间（咖啡角/棋牌室/活动室）的老年人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核心问题/变量：社区公共空间功能（会客/活动）、银发使用频次、空间运营（第三方入驻）、孤独缓解、空间改造需求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社区公共空间功能（会客/活动）、银发使用频次（空间改造需求）之间存在可检验的关系，且受群体差异（年龄/收入/地区/身份）调节（待验证）；H2：社区公共空间功能（会客/活动）、银发使用频次是影响空间改造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🔶社区公共服务空间建设政策（民政部、住建部）；🔶社区空间运营案例（须下载核验）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社区空间问卷+运营方访谈；获奖黑名单核对：近三年无社区咖啡角获奖题（区别于1085社区功能空间泛题，聚焦银发社交场景）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🔶社区公共服务空间建设政策（民政部、住建部）；🔶社区空间运营案例（须下载核验）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