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1319. “城市书房夜灯，24小时阅读”——城市书房（24小时自助图书馆）使用研究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确定行业：21_公共治理与社会关怀（选择理由：贴合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研究对象：使用城市书房（24小时自助）的读者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核心问题/变量：城市书房布局（社区/商圈）、24小时开放（夜间自习）、借阅与自习功能、读者粘性（下班后）、运营与设备维护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城市书房布局（社区/商圈）、24小时开放（夜间自习）（运营与设备维护）之间存在可检验的关系，且受群体差异（年龄/收入/地区/身份）调节（待验证）；H2：城市书房布局（社区/商圈）、24小时开放（夜间自习）是影响运营与设备维护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🔶全民阅读与城市书房建设政策（中宣部、文旅部）；🔶城市书房数据（须下载核验）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城市书房问卷+文旅部门访谈；获奖黑名单核对：近三年无城市书房获奖题（区别于148图书馆自习，聚焦24小时自助网点）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🔶全民阅读与城市书房建设政策（中宣部、文旅部）；🔶城市书房数据（须下载核验）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