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1320. “AED进小区，救命黄金4分钟”——AED（自动体外除颤仪）配置与公众急救研究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研究对象：小区/公共场所配置AED的居民与物业、急救培训参与者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核心问题/变量：AED配置率（公共场所）、居民急救技能（心肺复苏培训）、AED使用意愿（敢不敢用）、扫码取用、急救响应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ED配置率（公共场所）、居民急救技能（心肺复苏培训）（急救响应）之间存在可检验的关系，且受群体差异（年龄/收入/地区/身份）调节（待验证）；H2：AED配置率（公共场所）、居民急救技能（心肺复苏培训）是影响急救响应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🔶公共场所AED配置与急救培训政策（卫健委、红十字会）；🔶AED配置数据（须下载核验）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小区/商场问卷+红十字会访谈；获奖黑名单核对：近三年无AED配置获奖题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🔶公共场所AED配置与急救培训政策（卫健委、红十字会）；🔶AED配置数据（须下载核验）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