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156. “卡牌监管，未成年人防线”——未成年人集换式卡牌消费的家长态度与监管建议研究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研究对象：子女购买卡牌/拆卡的家长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核心问题/变量：消费额度、家长知晓、担忧（成瘾/攀比/盲盒概率）、监管诉求、对策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H1：消费额度、家长知晓（对策）之间存在可检验的关系，且受群体差异（年龄/收入/地区/身份）调节（待验证）；H2：消费额度、家长知晓是影响对策的关键因素（待验证）。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🔶卡牌盲盒概率与未成年人保护讨论（媒体/消委会关注，需引原文）；✅《盲盒经营行为规范指引》等市场监管文件（🔶具体文号待核验）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学校家长群/线下校园周边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🔶卡牌盲盒概率与未成年人保护讨论（媒体/消委会关注，需引原文）；✅《盲盒经营行为规范指引》等市场监管文件（🔶具体文号待核验）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