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179. “一张脸，值多少钱”——人脸信息授权（刷脸支付、相册授权）风险认知研究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研究对象：使用刷脸支付/人脸认证的 18—55 岁互联网用户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核心问题/变量：授权场景、风险认知、隐私泄露经历、维权意愿、平台信任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H1：授权场景、风险认知（平台信任）之间存在可检验的关系，且受群体差异（年龄/收入/地区/身份）调节（待验证）；H2：授权场景、风险认知是影响平台信任的关键因素（待验证）。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🔶"1张脸标价500块 人脸授权陷阱"热搜（百度热搜2026-10，需引权威媒体）；✅《个人信息保护法》（2021年施行，法律背景）；✅315人脸识别问题报道（历年）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线上问卷广撒网；结合"1张脸标价500元"新闻热点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🔶"1张脸标价500块 人脸授权陷阱"热搜（百度热搜2026-10，需引权威媒体）；✅《个人信息保护法》（2021年施行，法律背景）；✅315人脸识别问题报道（历年）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