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208. “无障碍出行，看见世界”——残障人士、老年人无障碍旅游消费需求研究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研究对象：残障人士、行动不便老人及其家属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核心问题/变量：出行障碍、无障碍设施评价、旅游意愿、信息无障碍、消费需求缺口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H1：出行障碍、无障碍设施评价（消费需求缺口）之间存在可检验的关系，且受群体差异（年龄/收入/地区/身份）调节（待验证）；H2：出行障碍、无障碍设施评价是影响消费需求缺口的关键因素（待验证）。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🔶无障碍旅游发展为民生议题（媒体/残联报道，需引原文）；✅《无障碍环境建设法》2023年施行（法律背景）；✅文旅部门推进无障碍景区建设（政策）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残联/特殊教育机构/老年社区渠道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🔶无障碍旅游发展为民生议题（媒体/残联报道，需引原文）；✅《无障碍环境建设法》2023年施行（法律背景）；✅文旅部门推进无障碍景区建设（政策）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