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302. “租号买号，绕开防沉迷”——未成年人绕过防沉迷（租号、买号、代过人脸）现象与治理研究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研究对象：了解或参与过租号/买号/代验的未成年游戏玩家及家长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核心问题/变量：绕过方式知晓、发生频率、平台打击感知（AI声纹识别）、治理建议、风险认知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H1：绕过方式知晓、发生频率（风险认知）之间存在可检验的关系，且受群体差异（年龄/收入/地区/身份）调节（待验证）；H2：绕过方式知晓、发生频率是影响风险认知的关键因素（待验证）。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✅腾讯"AI双引擎防沉迷"用声纹、年龄识别打击"代过人脸"（央广网2026-07-04）；✅记者实测：租号买号、家长手机一键登录仍是主要漏洞、或引发免密支付盗刷；✅"破解防沉迷"均为诈骗（官方提示）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游戏社群/校园渠道匿名问卷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✅腾讯"AI双引擎防沉迷"用声纹、年龄识别打击"代过人脸"（央广网2026-07-04）；✅记者实测：租号买号、家长手机一键登录仍是主要漏洞、或引发免密支付盗刷；✅"破解防沉迷"均为诈骗（官方提示）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