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304. “刷不完的短视频，看得住的娃”——未成年人短视频消费与算法保护研究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研究对象：有未成年子女的家长及 12—17 岁青少年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核心问题/变量：观看时长、内容类型（游戏/搞笑/直播）、青少年模式知晓与使用、家长管控、短视频沉迷担忧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观看时长、内容类型（游戏/搞笑/直播）（短视频沉迷担忧）之间存在可检验的关系，且受群体差异（年龄/收入/地区/身份）调节（待验证）；H2：观看时长、内容类型（游戏/搞笑/直播）是影响短视频沉迷担忧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✅《未成年人网络保护条例》要求网络产品未成年人模式；✅短视频用户规模（CNNIC：短视频用户超10亿🔶）；🔶未成年人短视频使用调查（共青团中央报告需下载）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学校/社区渠道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✅《未成年人网络保护条例》要求网络产品未成年人模式；✅短视频用户规模（CNNIC：短视频用户超10亿🔶）；🔶未成年人短视频使用调查（共青团中央报告需下载）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