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328. “城市大脑，一网统管”——数字政务、智慧城市民生服务满意度研究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研究对象：使用过本地政务App/小程序（随申办/粤省事/浙里办）的居民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核心问题/变量：使用事项（办事/缴费/查询）、便捷度、信息复用（免提交材料）、个性化服务、满意度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事项（办事/缴费/查询）、便捷度（满意度）之间存在可检验的关系，且受群体差异（年龄/收入/地区/身份）调节（待验证）；H2：使用事项（办事/缴费/查询）、便捷度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🔶省级政务App案例（各省数据需核验）；✅"一网通办"政策（国务院）；✅数字政府建设规划（背景）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政务App用户线上问卷+线下政务大厅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🔶省级政务App案例（各省数据需核验）；✅"一网通办"政策（国务院）；✅数字政府建设规划（背景）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