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372. “盲人按摩师，专业职称之路”——盲人医疗按摩人员执业与就业支持研究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研究对象：盲人按摩从业者、培训机构、残联工作人员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核心问题/变量：执业资格获取、就业渠道、收入、职称晋升、社会认可、support需求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H1：执业资格获取、就业渠道（support需求）之间存在可检验的关系，且受群体差异（年龄/收入/地区/身份）调节（待验证）；H2：执业资格获取、就业渠道是影响support需求的关键因素（待验证）。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全国盲人医疗按摩人员考试（中国残联国家级统考）：9月12-13日、31省+兵团2150名盲人报名、85个笔试考点；✅合格者取得盲人医疗按摩人员初级专业职务任职资格；✅盲人按摩纳入医保支付讨论（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盲人按摩机构/残联渠道；公益型选题增分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全国盲人医疗按摩人员考试（中国残联国家级统考）：9月12-13日、31省+兵团2150名盲人报名、85个笔试考点；✅合格者取得盲人医疗按摩人员初级专业职务任职资格；✅盲人按摩纳入医保支付讨论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