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381. “就业无碍，残障同行”——残障人士就业渠道与支持性就业研究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研究对象：在业/求职残障人士及就业服务机构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核心问题/变量：就业渠道（残疾人就业保障金/辅助性就业/灵活）、职业匹配、收入、歧视经历、支持需求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就业渠道（残疾人就业保障金/辅助性就业/灵活）、职业匹配（支持需求）之间存在可检验的关系，且受群体差异（年龄/收入/地区/身份）调节（待验证）；H2：就业渠道（残疾人就业保障金/辅助性就业/灵活）、职业匹配是影响支持需求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✅《残疾人保障法》与机关事业单位按比例就业（政策背景）；✅盲人按摩从业（2026统考2150人关联）；🔶残障就业率数据（残联年报需下载）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残联/残疾人就业服务中心渠道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✅《残疾人保障法》与机关事业单位按比例就业（政策背景）；✅盲人按摩从业（2026统考2150人关联）；🔶残障就业率数据（残联年报需下载）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